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22" w:rsidRPr="0099027B" w:rsidRDefault="00E25022" w:rsidP="0099027B">
      <w:pPr>
        <w:pStyle w:val="a3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Критерії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виключення</w:t>
      </w:r>
      <w:bookmarkStart w:id="0" w:name="_GoBack"/>
      <w:bookmarkEnd w:id="0"/>
      <w:proofErr w:type="spellEnd"/>
    </w:p>
    <w:p w:rsidR="00E25022" w:rsidRPr="0099027B" w:rsidRDefault="00E25022" w:rsidP="0099027B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E25022" w:rsidRPr="0099027B" w:rsidRDefault="00E25022" w:rsidP="0099027B">
      <w:pPr>
        <w:pStyle w:val="a3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Ці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критерії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відповідають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правилам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ЄС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контрактів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(PRAG)</w:t>
      </w:r>
    </w:p>
    <w:p w:rsidR="00E25022" w:rsidRPr="0099027B" w:rsidRDefault="00E25022" w:rsidP="0099027B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E25022" w:rsidRPr="0099027B" w:rsidRDefault="00E25022" w:rsidP="0099027B">
      <w:pPr>
        <w:pStyle w:val="a3"/>
        <w:rPr>
          <w:rFonts w:asciiTheme="minorHAnsi" w:hAnsiTheme="minorHAnsi" w:cstheme="minorHAnsi"/>
          <w:sz w:val="24"/>
          <w:szCs w:val="24"/>
        </w:rPr>
      </w:pPr>
      <w:r w:rsidRPr="0099027B">
        <w:rPr>
          <w:rFonts w:asciiTheme="minorHAnsi" w:hAnsiTheme="minorHAnsi" w:cstheme="minorHAnsi"/>
          <w:sz w:val="24"/>
          <w:szCs w:val="24"/>
        </w:rPr>
        <w:t xml:space="preserve">I.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Критерії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виключення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застосовуються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процедурах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закупівель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грантів</w:t>
      </w:r>
      <w:proofErr w:type="spellEnd"/>
    </w:p>
    <w:p w:rsidR="00E25022" w:rsidRPr="0099027B" w:rsidRDefault="00E25022" w:rsidP="0099027B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E25022" w:rsidRPr="0099027B" w:rsidRDefault="00E25022" w:rsidP="0099027B">
      <w:pPr>
        <w:pStyle w:val="a3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Кандидати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учасники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заявники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будуть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відсторонені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процедурах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закупівель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грантів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:</w:t>
      </w:r>
    </w:p>
    <w:p w:rsidR="006F626B" w:rsidRPr="0099027B" w:rsidRDefault="00E25022" w:rsidP="0099027B">
      <w:pPr>
        <w:pStyle w:val="a3"/>
        <w:numPr>
          <w:ilvl w:val="1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банкрутами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перебувають у процесі </w:t>
      </w:r>
      <w:proofErr w:type="spellStart"/>
      <w:r w:rsidRPr="0099027B">
        <w:rPr>
          <w:rFonts w:asciiTheme="minorHAnsi" w:hAnsiTheme="minorHAnsi" w:cstheme="minorHAnsi"/>
          <w:sz w:val="24"/>
          <w:szCs w:val="24"/>
          <w:lang w:val="uk-UA"/>
        </w:rPr>
        <w:t>ліквідовування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у судових процесах,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уклали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угоду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кредиторами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призупинили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господарську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діяльність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є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суб’єктами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провадження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цих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питань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перебувають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будь-якій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аналогічній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ситуації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виникає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внаслідок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подібн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</w:t>
      </w:r>
      <w:proofErr w:type="spellEnd"/>
      <w:r w:rsidRPr="0099027B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передбачен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національним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законодавством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нормативними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актами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;</w:t>
      </w:r>
    </w:p>
    <w:p w:rsidR="00E25022" w:rsidRPr="0099027B" w:rsidRDefault="00E25022" w:rsidP="0099027B">
      <w:pPr>
        <w:pStyle w:val="a3"/>
        <w:numPr>
          <w:ilvl w:val="1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особи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повноваження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представництва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прийняття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рішень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контролю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засуджені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правопорушення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яке</w:t>
      </w:r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стосується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їхньої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професійної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роботи</w:t>
      </w:r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вироком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компетентного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органу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держави-члена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набрав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чинності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res judicata; (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оскарження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неможливе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);</w:t>
      </w:r>
    </w:p>
    <w:p w:rsidR="00E25022" w:rsidRPr="0099027B" w:rsidRDefault="00E25022" w:rsidP="0099027B">
      <w:pPr>
        <w:pStyle w:val="a3"/>
        <w:numPr>
          <w:ilvl w:val="1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винними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серйозному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професійному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проступку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доведеному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будь-якими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засобами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може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довести</w:t>
      </w:r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замовник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числі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рішеннями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інвестиційного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банку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міжнародних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організацій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;</w:t>
      </w:r>
    </w:p>
    <w:p w:rsidR="00E25022" w:rsidRPr="0099027B" w:rsidRDefault="00E25022" w:rsidP="0099027B">
      <w:pPr>
        <w:pStyle w:val="a3"/>
        <w:numPr>
          <w:ilvl w:val="1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дотримуються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своїх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зобов'язань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сплати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внесків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соціальне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страхування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сплати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податків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відповідно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правових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положень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країни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засновані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положень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країни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замовника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положень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країни-замовника</w:t>
      </w:r>
      <w:proofErr w:type="spellEnd"/>
      <w:r w:rsidR="009D3E47"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 чи</w:t>
      </w:r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3E47" w:rsidRPr="0099027B">
        <w:rPr>
          <w:rFonts w:asciiTheme="minorHAnsi" w:hAnsiTheme="minorHAnsi" w:cstheme="minorHAnsi"/>
          <w:sz w:val="24"/>
          <w:szCs w:val="24"/>
        </w:rPr>
        <w:t>країн</w:t>
      </w:r>
      <w:proofErr w:type="spellEnd"/>
      <w:r w:rsidR="009D3E47" w:rsidRPr="0099027B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виконано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контракт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;</w:t>
      </w:r>
    </w:p>
    <w:p w:rsidR="009D3E47" w:rsidRPr="0099027B" w:rsidRDefault="009D3E47" w:rsidP="0099027B">
      <w:pPr>
        <w:pStyle w:val="a3"/>
        <w:numPr>
          <w:ilvl w:val="1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особи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повноваження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представництва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прийняття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рішень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контролю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об’єктом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судового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набрало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законної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сили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шахрайство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корупцію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злочинній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організації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відмивання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грошей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будь-яку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іншу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незаконну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діяльність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така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незаконна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діяльність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завдає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шкоди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фінансовим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інтересам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ЄС;</w:t>
      </w:r>
    </w:p>
    <w:p w:rsidR="009D3E47" w:rsidRPr="0099027B" w:rsidRDefault="009D3E47" w:rsidP="0099027B">
      <w:pPr>
        <w:pStyle w:val="a3"/>
        <w:numPr>
          <w:ilvl w:val="1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99027B">
        <w:rPr>
          <w:rFonts w:asciiTheme="minorHAnsi" w:hAnsiTheme="minorHAnsi" w:cstheme="minorHAnsi"/>
          <w:sz w:val="24"/>
          <w:szCs w:val="24"/>
        </w:rPr>
        <w:t>вони</w:t>
      </w:r>
      <w:proofErr w:type="spellEnd"/>
      <w:proofErr w:type="gram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в даний момент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підлягають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адміністративному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стягненню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зазначеному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статті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109(1)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Фінансового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регламенту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ЄС (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програм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фінансуються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бюджету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ЄС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11-го EDF)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статті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99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Фінансового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регламенту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10-го EDF (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програм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фінансуються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10-го EDF).</w:t>
      </w:r>
    </w:p>
    <w:p w:rsidR="006F626B" w:rsidRPr="0099027B" w:rsidRDefault="006F626B" w:rsidP="0099027B">
      <w:pPr>
        <w:pStyle w:val="a3"/>
        <w:spacing w:before="5"/>
        <w:jc w:val="left"/>
        <w:rPr>
          <w:rFonts w:asciiTheme="minorHAnsi" w:hAnsiTheme="minorHAnsi" w:cstheme="minorHAnsi"/>
          <w:sz w:val="24"/>
          <w:szCs w:val="24"/>
        </w:rPr>
      </w:pPr>
    </w:p>
    <w:p w:rsidR="009D3E47" w:rsidRPr="0099027B" w:rsidRDefault="009D3E47" w:rsidP="0099027B">
      <w:pPr>
        <w:pStyle w:val="a3"/>
        <w:spacing w:before="5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Пункти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(a) - (d)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застосовуються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закупівлі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поставок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особливо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вигідних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умовах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постачальника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остаточно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припиняє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свою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господарську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діяльність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розпорядників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ліквідаторів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справі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банкрутство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через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угоду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кредиторами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через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аналогічну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відповідно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національного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законодавства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.</w:t>
      </w:r>
    </w:p>
    <w:p w:rsidR="009D3E47" w:rsidRPr="0099027B" w:rsidRDefault="009D3E47" w:rsidP="0099027B">
      <w:pPr>
        <w:pStyle w:val="a3"/>
        <w:spacing w:before="5"/>
        <w:rPr>
          <w:rFonts w:asciiTheme="minorHAnsi" w:hAnsiTheme="minorHAnsi" w:cstheme="minorHAnsi"/>
          <w:sz w:val="24"/>
          <w:szCs w:val="24"/>
        </w:rPr>
      </w:pPr>
    </w:p>
    <w:p w:rsidR="009D3E47" w:rsidRPr="0099027B" w:rsidRDefault="009D3E47" w:rsidP="0099027B">
      <w:pPr>
        <w:pStyle w:val="a3"/>
        <w:spacing w:before="5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Пункти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(b) і (e)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застосовуються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кандидати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учасники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тендеру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заявники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можуть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продемонструвати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вжиті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адекватні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заходи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до</w:t>
      </w:r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повноваження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представництва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прийняття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рішень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контролю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підпадають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судового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зазначеного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пунктах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(b)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(e).</w:t>
      </w:r>
    </w:p>
    <w:p w:rsidR="009D3E47" w:rsidRPr="0099027B" w:rsidRDefault="009D3E47" w:rsidP="0099027B">
      <w:pPr>
        <w:pStyle w:val="a3"/>
        <w:spacing w:before="5"/>
        <w:jc w:val="left"/>
        <w:rPr>
          <w:rFonts w:asciiTheme="minorHAnsi" w:hAnsiTheme="minorHAnsi" w:cstheme="minorHAnsi"/>
          <w:sz w:val="24"/>
          <w:szCs w:val="24"/>
        </w:rPr>
      </w:pPr>
    </w:p>
    <w:p w:rsidR="00B379A6" w:rsidRPr="0099027B" w:rsidRDefault="009D3E47" w:rsidP="0099027B">
      <w:pPr>
        <w:pStyle w:val="a3"/>
        <w:spacing w:before="5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Пункти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(a), (c) і (d)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застосовуються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належним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чином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обґрунтовано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замовником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переговорних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процедурах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коли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необхідно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присудити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контракт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певній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lastRenderedPageBreak/>
        <w:t>організації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технічних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якісних</w:t>
      </w:r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причин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причин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пов’язаних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із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захистом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r w:rsidR="00B379A6" w:rsidRPr="00A404EE">
        <w:rPr>
          <w:rFonts w:asciiTheme="minorHAnsi" w:hAnsiTheme="minorHAnsi" w:cstheme="minorHAnsi"/>
          <w:sz w:val="24"/>
          <w:szCs w:val="24"/>
          <w:lang w:val="uk-UA"/>
        </w:rPr>
        <w:t>права ексклюзивності.</w:t>
      </w:r>
      <w:r w:rsidR="00B379A6"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6F626B" w:rsidRPr="0099027B" w:rsidRDefault="006F626B" w:rsidP="0099027B">
      <w:pPr>
        <w:pStyle w:val="a3"/>
        <w:spacing w:before="10"/>
        <w:jc w:val="left"/>
        <w:rPr>
          <w:rFonts w:asciiTheme="minorHAnsi" w:hAnsiTheme="minorHAnsi" w:cstheme="minorHAnsi"/>
          <w:sz w:val="24"/>
          <w:szCs w:val="24"/>
        </w:rPr>
      </w:pPr>
    </w:p>
    <w:p w:rsidR="00B379A6" w:rsidRPr="0099027B" w:rsidRDefault="00B379A6" w:rsidP="00A404EE">
      <w:pPr>
        <w:pStyle w:val="a3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Випадки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зазначені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пункті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(e), є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наступними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:</w:t>
      </w:r>
    </w:p>
    <w:p w:rsidR="00B379A6" w:rsidRPr="0099027B" w:rsidRDefault="00B379A6" w:rsidP="00A404EE">
      <w:pPr>
        <w:pStyle w:val="a3"/>
        <w:rPr>
          <w:rFonts w:asciiTheme="minorHAnsi" w:hAnsiTheme="minorHAnsi" w:cstheme="minorHAnsi"/>
          <w:sz w:val="24"/>
          <w:szCs w:val="24"/>
        </w:rPr>
      </w:pPr>
      <w:r w:rsidRPr="0099027B">
        <w:rPr>
          <w:rFonts w:asciiTheme="minorHAnsi" w:hAnsiTheme="minorHAnsi" w:cstheme="minorHAnsi"/>
          <w:sz w:val="24"/>
          <w:szCs w:val="24"/>
        </w:rPr>
        <w:t xml:space="preserve">1)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випадки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шахрайства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зазначено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статті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Конвенції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фінансових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інтересів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Співтовариств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розробленої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Актом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26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липня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1995 року;12</w:t>
      </w:r>
    </w:p>
    <w:p w:rsidR="00B379A6" w:rsidRPr="0099027B" w:rsidRDefault="00B379A6" w:rsidP="00A404EE">
      <w:pPr>
        <w:pStyle w:val="a3"/>
        <w:rPr>
          <w:rFonts w:asciiTheme="minorHAnsi" w:hAnsiTheme="minorHAnsi" w:cstheme="minorHAnsi"/>
          <w:sz w:val="24"/>
          <w:szCs w:val="24"/>
        </w:rPr>
      </w:pPr>
      <w:r w:rsidRPr="0099027B">
        <w:rPr>
          <w:rFonts w:asciiTheme="minorHAnsi" w:hAnsiTheme="minorHAnsi" w:cstheme="minorHAnsi"/>
          <w:sz w:val="24"/>
          <w:szCs w:val="24"/>
        </w:rPr>
        <w:t xml:space="preserve">2)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випадки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корупції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йдеться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статті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3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Конвенції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боротьбу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корупцією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посадових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Співтовариств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посадових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держав-членів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Союзу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розробленої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Актом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26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травня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1997 року;13</w:t>
      </w:r>
    </w:p>
    <w:p w:rsidR="00B379A6" w:rsidRPr="0099027B" w:rsidRDefault="00B379A6" w:rsidP="00A404EE">
      <w:pPr>
        <w:pStyle w:val="a3"/>
        <w:rPr>
          <w:rFonts w:asciiTheme="minorHAnsi" w:hAnsiTheme="minorHAnsi" w:cstheme="minorHAnsi"/>
          <w:sz w:val="24"/>
          <w:szCs w:val="24"/>
        </w:rPr>
      </w:pPr>
      <w:r w:rsidRPr="0099027B">
        <w:rPr>
          <w:rFonts w:asciiTheme="minorHAnsi" w:hAnsiTheme="minorHAnsi" w:cstheme="minorHAnsi"/>
          <w:sz w:val="24"/>
          <w:szCs w:val="24"/>
        </w:rPr>
        <w:t xml:space="preserve">3) </w:t>
      </w:r>
      <w:proofErr w:type="spellStart"/>
      <w:proofErr w:type="gramStart"/>
      <w:r w:rsidRPr="0099027B">
        <w:rPr>
          <w:rFonts w:asciiTheme="minorHAnsi" w:hAnsiTheme="minorHAnsi" w:cstheme="minorHAnsi"/>
          <w:sz w:val="24"/>
          <w:szCs w:val="24"/>
        </w:rPr>
        <w:t>випадки</w:t>
      </w:r>
      <w:proofErr w:type="spellEnd"/>
      <w:proofErr w:type="gram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злочинній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організації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визначено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статті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2 </w:t>
      </w:r>
      <w:r w:rsidRPr="00A404EE">
        <w:rPr>
          <w:rFonts w:asciiTheme="minorHAnsi" w:hAnsiTheme="minorHAnsi" w:cstheme="minorHAnsi"/>
          <w:sz w:val="24"/>
          <w:szCs w:val="24"/>
          <w:lang w:val="uk-UA"/>
        </w:rPr>
        <w:t>Структурного</w:t>
      </w:r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r w:rsidRPr="00A404EE">
        <w:rPr>
          <w:rFonts w:asciiTheme="minorHAnsi" w:hAnsiTheme="minorHAnsi" w:cstheme="minorHAnsi"/>
          <w:sz w:val="24"/>
          <w:szCs w:val="24"/>
          <w:lang w:val="uk-UA"/>
        </w:rPr>
        <w:t>прийняття р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ішен</w:t>
      </w:r>
      <w:proofErr w:type="spellEnd"/>
      <w:r w:rsidRPr="00A404EE">
        <w:rPr>
          <w:rFonts w:asciiTheme="minorHAnsi" w:hAnsiTheme="minorHAnsi" w:cstheme="minorHAnsi"/>
          <w:sz w:val="24"/>
          <w:szCs w:val="24"/>
          <w:lang w:val="uk-UA"/>
        </w:rPr>
        <w:t>ь</w:t>
      </w:r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Рад</w:t>
      </w:r>
      <w:r w:rsidRPr="00A404EE">
        <w:rPr>
          <w:rFonts w:asciiTheme="minorHAnsi" w:hAnsiTheme="minorHAnsi" w:cstheme="minorHAnsi"/>
          <w:sz w:val="24"/>
          <w:szCs w:val="24"/>
          <w:lang w:val="uk-UA"/>
        </w:rPr>
        <w:t>ою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2008/841/JHA14</w:t>
      </w:r>
    </w:p>
    <w:p w:rsidR="00B379A6" w:rsidRPr="0099027B" w:rsidRDefault="00B379A6" w:rsidP="00A404EE">
      <w:pPr>
        <w:pStyle w:val="a3"/>
        <w:rPr>
          <w:rFonts w:asciiTheme="minorHAnsi" w:hAnsiTheme="minorHAnsi" w:cstheme="minorHAnsi"/>
          <w:sz w:val="24"/>
          <w:szCs w:val="24"/>
        </w:rPr>
      </w:pPr>
      <w:r w:rsidRPr="0099027B">
        <w:rPr>
          <w:rFonts w:asciiTheme="minorHAnsi" w:hAnsiTheme="minorHAnsi" w:cstheme="minorHAnsi"/>
          <w:sz w:val="24"/>
          <w:szCs w:val="24"/>
        </w:rPr>
        <w:t xml:space="preserve">4) </w:t>
      </w:r>
      <w:proofErr w:type="spellStart"/>
      <w:proofErr w:type="gramStart"/>
      <w:r w:rsidRPr="0099027B">
        <w:rPr>
          <w:rFonts w:asciiTheme="minorHAnsi" w:hAnsiTheme="minorHAnsi" w:cstheme="minorHAnsi"/>
          <w:sz w:val="24"/>
          <w:szCs w:val="24"/>
        </w:rPr>
        <w:t>випадки</w:t>
      </w:r>
      <w:proofErr w:type="spellEnd"/>
      <w:proofErr w:type="gram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відмивання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грошей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визначено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статті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2005/60/ЄС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</w:rPr>
        <w:t>15;</w:t>
      </w:r>
    </w:p>
    <w:p w:rsidR="00B379A6" w:rsidRPr="0099027B" w:rsidRDefault="00B379A6" w:rsidP="00A404EE">
      <w:pPr>
        <w:pStyle w:val="a3"/>
        <w:rPr>
          <w:rFonts w:asciiTheme="minorHAnsi" w:hAnsiTheme="minorHAnsi" w:cstheme="minorHAnsi"/>
          <w:sz w:val="24"/>
          <w:szCs w:val="24"/>
        </w:rPr>
      </w:pPr>
      <w:r w:rsidRPr="0099027B">
        <w:rPr>
          <w:rFonts w:asciiTheme="minorHAnsi" w:hAnsiTheme="minorHAnsi" w:cstheme="minorHAnsi"/>
          <w:sz w:val="24"/>
          <w:szCs w:val="24"/>
        </w:rPr>
        <w:t xml:space="preserve">5) </w:t>
      </w:r>
      <w:proofErr w:type="spellStart"/>
      <w:proofErr w:type="gramStart"/>
      <w:r w:rsidRPr="0099027B">
        <w:rPr>
          <w:rFonts w:asciiTheme="minorHAnsi" w:hAnsiTheme="minorHAnsi" w:cstheme="minorHAnsi"/>
          <w:sz w:val="24"/>
          <w:szCs w:val="24"/>
        </w:rPr>
        <w:t>справи</w:t>
      </w:r>
      <w:proofErr w:type="spellEnd"/>
      <w:proofErr w:type="gram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терористичні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злочини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злочини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пов’язані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терористичною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діяльністю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підбурювання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пособництво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підбурювання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спроби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вчинення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злочинів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як</w:t>
      </w:r>
      <w:proofErr w:type="spellEnd"/>
      <w:r w:rsidRPr="00A404EE">
        <w:rPr>
          <w:rFonts w:asciiTheme="minorHAnsi" w:hAnsiTheme="minorHAnsi" w:cstheme="minorHAnsi"/>
          <w:sz w:val="24"/>
          <w:szCs w:val="24"/>
          <w:lang w:val="uk-UA"/>
        </w:rPr>
        <w:t xml:space="preserve">і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визначено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статтях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1, 3 і 4 2 </w:t>
      </w:r>
      <w:r w:rsidRPr="00A404EE">
        <w:rPr>
          <w:rFonts w:asciiTheme="minorHAnsi" w:hAnsiTheme="minorHAnsi" w:cstheme="minorHAnsi"/>
          <w:sz w:val="24"/>
          <w:szCs w:val="24"/>
          <w:lang w:val="uk-UA"/>
        </w:rPr>
        <w:t>Структурного</w:t>
      </w:r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r w:rsidRPr="00A404EE">
        <w:rPr>
          <w:rFonts w:asciiTheme="minorHAnsi" w:hAnsiTheme="minorHAnsi" w:cstheme="minorHAnsi"/>
          <w:sz w:val="24"/>
          <w:szCs w:val="24"/>
          <w:lang w:val="uk-UA"/>
        </w:rPr>
        <w:t>прийняття р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ішен</w:t>
      </w:r>
      <w:proofErr w:type="spellEnd"/>
      <w:r w:rsidRPr="00A404EE">
        <w:rPr>
          <w:rFonts w:asciiTheme="minorHAnsi" w:hAnsiTheme="minorHAnsi" w:cstheme="minorHAnsi"/>
          <w:sz w:val="24"/>
          <w:szCs w:val="24"/>
          <w:lang w:val="uk-UA"/>
        </w:rPr>
        <w:t>ь</w:t>
      </w:r>
      <w:r w:rsidRPr="00A404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04EE">
        <w:rPr>
          <w:rFonts w:asciiTheme="minorHAnsi" w:hAnsiTheme="minorHAnsi" w:cstheme="minorHAnsi"/>
          <w:sz w:val="24"/>
          <w:szCs w:val="24"/>
        </w:rPr>
        <w:t>Рад</w:t>
      </w:r>
      <w:r w:rsidRPr="00A404EE">
        <w:rPr>
          <w:rFonts w:asciiTheme="minorHAnsi" w:hAnsiTheme="minorHAnsi" w:cstheme="minorHAnsi"/>
          <w:sz w:val="24"/>
          <w:szCs w:val="24"/>
          <w:lang w:val="uk-UA"/>
        </w:rPr>
        <w:t>ою</w:t>
      </w:r>
      <w:proofErr w:type="spellEnd"/>
      <w:r w:rsidRPr="00A404EE">
        <w:rPr>
          <w:rFonts w:asciiTheme="minorHAnsi" w:hAnsiTheme="minorHAnsi" w:cstheme="minorHAnsi"/>
          <w:sz w:val="24"/>
          <w:szCs w:val="24"/>
        </w:rPr>
        <w:t xml:space="preserve"> 2002/475/JHA16</w:t>
      </w:r>
    </w:p>
    <w:p w:rsidR="006F626B" w:rsidRPr="0099027B" w:rsidRDefault="006F626B" w:rsidP="0099027B">
      <w:pPr>
        <w:pStyle w:val="a3"/>
        <w:spacing w:before="4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B379A6" w:rsidRPr="0099027B" w:rsidRDefault="00B379A6" w:rsidP="0099027B">
      <w:pPr>
        <w:pStyle w:val="a3"/>
        <w:spacing w:before="4"/>
        <w:rPr>
          <w:rFonts w:asciiTheme="minorHAnsi" w:hAnsiTheme="minorHAnsi" w:cstheme="minorHAnsi"/>
          <w:b/>
          <w:sz w:val="24"/>
          <w:szCs w:val="24"/>
        </w:rPr>
      </w:pPr>
      <w:r w:rsidRPr="0099027B">
        <w:rPr>
          <w:rFonts w:asciiTheme="minorHAnsi" w:hAnsiTheme="minorHAnsi" w:cstheme="minorHAnsi"/>
          <w:b/>
          <w:sz w:val="24"/>
          <w:szCs w:val="24"/>
        </w:rPr>
        <w:t xml:space="preserve">II.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Критерії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виключення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застосовуються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під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час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процедур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закупівель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b/>
          <w:sz w:val="24"/>
          <w:szCs w:val="24"/>
        </w:rPr>
        <w:t>грантів</w:t>
      </w:r>
      <w:proofErr w:type="spellEnd"/>
    </w:p>
    <w:p w:rsidR="00B379A6" w:rsidRPr="0099027B" w:rsidRDefault="00B379A6" w:rsidP="0099027B">
      <w:pPr>
        <w:pStyle w:val="a3"/>
        <w:spacing w:before="4"/>
        <w:rPr>
          <w:rFonts w:asciiTheme="minorHAnsi" w:hAnsiTheme="minorHAnsi" w:cstheme="minorHAnsi"/>
          <w:sz w:val="24"/>
          <w:szCs w:val="24"/>
        </w:rPr>
      </w:pPr>
    </w:p>
    <w:p w:rsidR="00B379A6" w:rsidRPr="0099027B" w:rsidRDefault="00B379A6" w:rsidP="0099027B">
      <w:pPr>
        <w:pStyle w:val="a3"/>
        <w:spacing w:before="4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Контракти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можуть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бути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укладені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кандидатами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заявниками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учасниками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тендеру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час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закупівель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гранту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:</w:t>
      </w:r>
    </w:p>
    <w:p w:rsidR="00B379A6" w:rsidRPr="0099027B" w:rsidRDefault="00B379A6" w:rsidP="0099027B">
      <w:pPr>
        <w:pStyle w:val="a3"/>
        <w:numPr>
          <w:ilvl w:val="0"/>
          <w:numId w:val="4"/>
        </w:numPr>
        <w:spacing w:before="4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перебувають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конфлікті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інтересів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;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B379A6" w:rsidRPr="0099027B" w:rsidRDefault="00B379A6" w:rsidP="0099027B">
      <w:pPr>
        <w:pStyle w:val="a3"/>
        <w:numPr>
          <w:ilvl w:val="0"/>
          <w:numId w:val="4"/>
        </w:numPr>
        <w:spacing w:before="4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винні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введенні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неправдивих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час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інформації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вимагається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замовником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умова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закупівлі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надають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>таку</w:t>
      </w:r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інформацію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;</w:t>
      </w:r>
      <w:r w:rsidRPr="0099027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B379A6" w:rsidRPr="0099027B" w:rsidRDefault="00B379A6" w:rsidP="0099027B">
      <w:pPr>
        <w:pStyle w:val="a3"/>
        <w:numPr>
          <w:ilvl w:val="0"/>
          <w:numId w:val="4"/>
        </w:numPr>
        <w:spacing w:before="4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99027B">
        <w:rPr>
          <w:rFonts w:asciiTheme="minorHAnsi" w:hAnsiTheme="minorHAnsi" w:cstheme="minorHAnsi"/>
          <w:sz w:val="24"/>
          <w:szCs w:val="24"/>
        </w:rPr>
        <w:t>опинилися</w:t>
      </w:r>
      <w:proofErr w:type="spellEnd"/>
      <w:proofErr w:type="gramEnd"/>
      <w:r w:rsidRPr="0099027B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одній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із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ситуацій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виключення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цієї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закупівлі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гранту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>.</w:t>
      </w:r>
    </w:p>
    <w:p w:rsidR="00B379A6" w:rsidRPr="0099027B" w:rsidRDefault="00B379A6" w:rsidP="0099027B">
      <w:pPr>
        <w:pStyle w:val="a3"/>
        <w:spacing w:before="4"/>
        <w:rPr>
          <w:rFonts w:asciiTheme="minorHAnsi" w:hAnsiTheme="minorHAnsi" w:cstheme="minorHAnsi"/>
          <w:sz w:val="24"/>
          <w:szCs w:val="24"/>
        </w:rPr>
      </w:pPr>
    </w:p>
    <w:p w:rsidR="00B379A6" w:rsidRPr="0099027B" w:rsidRDefault="00B379A6" w:rsidP="0099027B">
      <w:pPr>
        <w:pStyle w:val="a3"/>
        <w:spacing w:before="4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Кандидати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учасники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тендеру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заявники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крім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хто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бере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участь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закритій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переговорній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процедурі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конкурентному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діалозі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повинні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підписати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разом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зі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своїми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заявками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декларацію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засвідчує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організація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підпадає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жодну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ситуацій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виключення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зазначених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пунктах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99027B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Pr="0099027B">
        <w:rPr>
          <w:rFonts w:asciiTheme="minorHAnsi" w:hAnsiTheme="minorHAnsi" w:cstheme="minorHAnsi"/>
          <w:sz w:val="24"/>
          <w:szCs w:val="24"/>
        </w:rPr>
        <w:t xml:space="preserve"> II.</w:t>
      </w:r>
    </w:p>
    <w:sectPr w:rsidR="00B379A6" w:rsidRPr="0099027B">
      <w:headerReference w:type="default" r:id="rId7"/>
      <w:footerReference w:type="default" r:id="rId8"/>
      <w:pgSz w:w="11900" w:h="16840"/>
      <w:pgMar w:top="2060" w:right="1300" w:bottom="1120" w:left="1300" w:header="708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12" w:rsidRDefault="000C1E12">
      <w:r>
        <w:separator/>
      </w:r>
    </w:p>
  </w:endnote>
  <w:endnote w:type="continuationSeparator" w:id="0">
    <w:p w:rsidR="000C1E12" w:rsidRDefault="000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6B" w:rsidRDefault="00E25022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6141085</wp:posOffset>
              </wp:positionH>
              <wp:positionV relativeFrom="page">
                <wp:posOffset>9967595</wp:posOffset>
              </wp:positionV>
              <wp:extent cx="568325" cy="15684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26B" w:rsidRDefault="00BC35E5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E12">
                            <w:rPr>
                              <w:rFonts w:ascii="Arial"/>
                              <w:b/>
                              <w:noProof/>
                              <w:w w:val="80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3.55pt;margin-top:784.85pt;width:44.75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b4uAIAAKg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" filled="f" stroked="f">
              <v:textbox inset="0,0,0,0">
                <w:txbxContent>
                  <w:p w:rsidR="006F626B" w:rsidRDefault="00BC35E5">
                    <w:pPr>
                      <w:spacing w:before="19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Page</w:t>
                    </w:r>
                    <w:r>
                      <w:rPr>
                        <w:spacing w:val="2"/>
                        <w:w w:val="8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E12">
                      <w:rPr>
                        <w:rFonts w:ascii="Arial"/>
                        <w:b/>
                        <w:noProof/>
                        <w:w w:val="80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of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12" w:rsidRDefault="000C1E12">
      <w:r>
        <w:separator/>
      </w:r>
    </w:p>
  </w:footnote>
  <w:footnote w:type="continuationSeparator" w:id="0">
    <w:p w:rsidR="000C1E12" w:rsidRDefault="000C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6B" w:rsidRDefault="006F626B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EB0"/>
    <w:multiLevelType w:val="hybridMultilevel"/>
    <w:tmpl w:val="F7C63290"/>
    <w:lvl w:ilvl="0" w:tplc="0B120876">
      <w:start w:val="1"/>
      <w:numFmt w:val="upperRoman"/>
      <w:lvlText w:val="%1."/>
      <w:lvlJc w:val="left"/>
      <w:pPr>
        <w:ind w:left="240" w:hanging="125"/>
      </w:pPr>
      <w:rPr>
        <w:rFonts w:ascii="Arial" w:eastAsia="Arial" w:hAnsi="Arial" w:cs="Arial" w:hint="default"/>
        <w:b/>
        <w:bCs/>
        <w:spacing w:val="1"/>
        <w:w w:val="100"/>
        <w:sz w:val="20"/>
        <w:szCs w:val="20"/>
        <w:lang w:val="en-US" w:eastAsia="en-US" w:bidi="ar-SA"/>
      </w:rPr>
    </w:lvl>
    <w:lvl w:ilvl="1" w:tplc="F2682822">
      <w:start w:val="1"/>
      <w:numFmt w:val="lowerLetter"/>
      <w:lvlText w:val="%2)"/>
      <w:lvlJc w:val="left"/>
      <w:pPr>
        <w:ind w:left="83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159A19F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02221AD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93023DC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D98C592E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C876CBA0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559A4DC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4C445B0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7A4711"/>
    <w:multiLevelType w:val="hybridMultilevel"/>
    <w:tmpl w:val="936635CA"/>
    <w:lvl w:ilvl="0" w:tplc="074074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32F85"/>
    <w:multiLevelType w:val="hybridMultilevel"/>
    <w:tmpl w:val="8FB6A0D2"/>
    <w:lvl w:ilvl="0" w:tplc="07407450">
      <w:numFmt w:val="bullet"/>
      <w:lvlText w:val=""/>
      <w:lvlJc w:val="left"/>
      <w:pPr>
        <w:ind w:left="828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16BAEC">
      <w:numFmt w:val="bullet"/>
      <w:lvlText w:val="•"/>
      <w:lvlJc w:val="left"/>
      <w:pPr>
        <w:ind w:left="1668" w:hanging="356"/>
      </w:pPr>
      <w:rPr>
        <w:rFonts w:hint="default"/>
        <w:lang w:val="en-US" w:eastAsia="en-US" w:bidi="ar-SA"/>
      </w:rPr>
    </w:lvl>
    <w:lvl w:ilvl="2" w:tplc="6986A49E">
      <w:numFmt w:val="bullet"/>
      <w:lvlText w:val="•"/>
      <w:lvlJc w:val="left"/>
      <w:pPr>
        <w:ind w:left="2516" w:hanging="356"/>
      </w:pPr>
      <w:rPr>
        <w:rFonts w:hint="default"/>
        <w:lang w:val="en-US" w:eastAsia="en-US" w:bidi="ar-SA"/>
      </w:rPr>
    </w:lvl>
    <w:lvl w:ilvl="3" w:tplc="E2F67398">
      <w:numFmt w:val="bullet"/>
      <w:lvlText w:val="•"/>
      <w:lvlJc w:val="left"/>
      <w:pPr>
        <w:ind w:left="3364" w:hanging="356"/>
      </w:pPr>
      <w:rPr>
        <w:rFonts w:hint="default"/>
        <w:lang w:val="en-US" w:eastAsia="en-US" w:bidi="ar-SA"/>
      </w:rPr>
    </w:lvl>
    <w:lvl w:ilvl="4" w:tplc="FB88237A">
      <w:numFmt w:val="bullet"/>
      <w:lvlText w:val="•"/>
      <w:lvlJc w:val="left"/>
      <w:pPr>
        <w:ind w:left="4212" w:hanging="356"/>
      </w:pPr>
      <w:rPr>
        <w:rFonts w:hint="default"/>
        <w:lang w:val="en-US" w:eastAsia="en-US" w:bidi="ar-SA"/>
      </w:rPr>
    </w:lvl>
    <w:lvl w:ilvl="5" w:tplc="5512FDF8">
      <w:numFmt w:val="bullet"/>
      <w:lvlText w:val="•"/>
      <w:lvlJc w:val="left"/>
      <w:pPr>
        <w:ind w:left="5060" w:hanging="356"/>
      </w:pPr>
      <w:rPr>
        <w:rFonts w:hint="default"/>
        <w:lang w:val="en-US" w:eastAsia="en-US" w:bidi="ar-SA"/>
      </w:rPr>
    </w:lvl>
    <w:lvl w:ilvl="6" w:tplc="B6CAEA7A">
      <w:numFmt w:val="bullet"/>
      <w:lvlText w:val="•"/>
      <w:lvlJc w:val="left"/>
      <w:pPr>
        <w:ind w:left="5908" w:hanging="356"/>
      </w:pPr>
      <w:rPr>
        <w:rFonts w:hint="default"/>
        <w:lang w:val="en-US" w:eastAsia="en-US" w:bidi="ar-SA"/>
      </w:rPr>
    </w:lvl>
    <w:lvl w:ilvl="7" w:tplc="E286C5A2">
      <w:numFmt w:val="bullet"/>
      <w:lvlText w:val="•"/>
      <w:lvlJc w:val="left"/>
      <w:pPr>
        <w:ind w:left="6756" w:hanging="356"/>
      </w:pPr>
      <w:rPr>
        <w:rFonts w:hint="default"/>
        <w:lang w:val="en-US" w:eastAsia="en-US" w:bidi="ar-SA"/>
      </w:rPr>
    </w:lvl>
    <w:lvl w:ilvl="8" w:tplc="59963EF6">
      <w:numFmt w:val="bullet"/>
      <w:lvlText w:val="•"/>
      <w:lvlJc w:val="left"/>
      <w:pPr>
        <w:ind w:left="7604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5E7154D4"/>
    <w:multiLevelType w:val="hybridMultilevel"/>
    <w:tmpl w:val="29D89E88"/>
    <w:lvl w:ilvl="0" w:tplc="37A870FE">
      <w:start w:val="1"/>
      <w:numFmt w:val="decimal"/>
      <w:lvlText w:val="%1)"/>
      <w:lvlJc w:val="left"/>
      <w:pPr>
        <w:ind w:left="828" w:hanging="28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E5A2CE2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ar-SA"/>
      </w:rPr>
    </w:lvl>
    <w:lvl w:ilvl="2" w:tplc="590CB466">
      <w:numFmt w:val="bullet"/>
      <w:lvlText w:val="•"/>
      <w:lvlJc w:val="left"/>
      <w:pPr>
        <w:ind w:left="2516" w:hanging="288"/>
      </w:pPr>
      <w:rPr>
        <w:rFonts w:hint="default"/>
        <w:lang w:val="en-US" w:eastAsia="en-US" w:bidi="ar-SA"/>
      </w:rPr>
    </w:lvl>
    <w:lvl w:ilvl="3" w:tplc="5D449394">
      <w:numFmt w:val="bullet"/>
      <w:lvlText w:val="•"/>
      <w:lvlJc w:val="left"/>
      <w:pPr>
        <w:ind w:left="3364" w:hanging="288"/>
      </w:pPr>
      <w:rPr>
        <w:rFonts w:hint="default"/>
        <w:lang w:val="en-US" w:eastAsia="en-US" w:bidi="ar-SA"/>
      </w:rPr>
    </w:lvl>
    <w:lvl w:ilvl="4" w:tplc="1C4E49A6">
      <w:numFmt w:val="bullet"/>
      <w:lvlText w:val="•"/>
      <w:lvlJc w:val="left"/>
      <w:pPr>
        <w:ind w:left="4212" w:hanging="288"/>
      </w:pPr>
      <w:rPr>
        <w:rFonts w:hint="default"/>
        <w:lang w:val="en-US" w:eastAsia="en-US" w:bidi="ar-SA"/>
      </w:rPr>
    </w:lvl>
    <w:lvl w:ilvl="5" w:tplc="B5EC90DC">
      <w:numFmt w:val="bullet"/>
      <w:lvlText w:val="•"/>
      <w:lvlJc w:val="left"/>
      <w:pPr>
        <w:ind w:left="5060" w:hanging="288"/>
      </w:pPr>
      <w:rPr>
        <w:rFonts w:hint="default"/>
        <w:lang w:val="en-US" w:eastAsia="en-US" w:bidi="ar-SA"/>
      </w:rPr>
    </w:lvl>
    <w:lvl w:ilvl="6" w:tplc="B65C9BFC">
      <w:numFmt w:val="bullet"/>
      <w:lvlText w:val="•"/>
      <w:lvlJc w:val="left"/>
      <w:pPr>
        <w:ind w:left="5908" w:hanging="288"/>
      </w:pPr>
      <w:rPr>
        <w:rFonts w:hint="default"/>
        <w:lang w:val="en-US" w:eastAsia="en-US" w:bidi="ar-SA"/>
      </w:rPr>
    </w:lvl>
    <w:lvl w:ilvl="7" w:tplc="8B107F3A">
      <w:numFmt w:val="bullet"/>
      <w:lvlText w:val="•"/>
      <w:lvlJc w:val="left"/>
      <w:pPr>
        <w:ind w:left="6756" w:hanging="288"/>
      </w:pPr>
      <w:rPr>
        <w:rFonts w:hint="default"/>
        <w:lang w:val="en-US" w:eastAsia="en-US" w:bidi="ar-SA"/>
      </w:rPr>
    </w:lvl>
    <w:lvl w:ilvl="8" w:tplc="3D94A400">
      <w:numFmt w:val="bullet"/>
      <w:lvlText w:val="•"/>
      <w:lvlJc w:val="left"/>
      <w:pPr>
        <w:ind w:left="7604" w:hanging="2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6B"/>
    <w:rsid w:val="000C1E12"/>
    <w:rsid w:val="002930B2"/>
    <w:rsid w:val="0040702C"/>
    <w:rsid w:val="006F626B"/>
    <w:rsid w:val="0099027B"/>
    <w:rsid w:val="009D3E47"/>
    <w:rsid w:val="00A404EE"/>
    <w:rsid w:val="00B379A6"/>
    <w:rsid w:val="00BC35E5"/>
    <w:rsid w:val="00E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531B0-1D3C-4514-88A7-08C05F85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1"/>
    <w:qFormat/>
    <w:pPr>
      <w:ind w:left="240" w:hanging="249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0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0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"/>
    <w:qFormat/>
    <w:pPr>
      <w:spacing w:before="215"/>
      <w:ind w:left="11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8" w:right="107" w:hanging="3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E25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50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930B2"/>
    <w:pPr>
      <w:tabs>
        <w:tab w:val="center" w:pos="4680"/>
        <w:tab w:val="right" w:pos="9360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930B2"/>
    <w:rPr>
      <w:rFonts w:ascii="Arial MT" w:eastAsia="Arial MT" w:hAnsi="Arial MT" w:cs="Arial MT"/>
    </w:rPr>
  </w:style>
  <w:style w:type="paragraph" w:styleId="a8">
    <w:name w:val="footer"/>
    <w:basedOn w:val="a"/>
    <w:link w:val="a9"/>
    <w:uiPriority w:val="99"/>
    <w:unhideWhenUsed/>
    <w:rsid w:val="002930B2"/>
    <w:pPr>
      <w:tabs>
        <w:tab w:val="center" w:pos="4680"/>
        <w:tab w:val="right" w:pos="9360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930B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Annex 4_Exclusion Criteria</vt:lpstr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4_Exclusion Criteria</dc:title>
  <dc:creator>MMaetzl</dc:creator>
  <cp:lastModifiedBy>user</cp:lastModifiedBy>
  <cp:revision>4</cp:revision>
  <dcterms:created xsi:type="dcterms:W3CDTF">2023-05-11T09:38:00Z</dcterms:created>
  <dcterms:modified xsi:type="dcterms:W3CDTF">2023-06-01T20:37:00Z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2023-05-11T00:00:00Z</vt:filetime>
  </property>
</Properties>
</file>